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7B2C1">
      <w:pPr>
        <w:widowControl w:val="0"/>
        <w:kinsoku/>
        <w:autoSpaceDE/>
        <w:autoSpaceDN/>
        <w:adjustRightInd/>
        <w:snapToGrid/>
        <w:spacing w:line="240" w:lineRule="auto"/>
        <w:jc w:val="both"/>
        <w:textAlignment w:val="auto"/>
        <w:rPr>
          <w:rFonts w:hint="eastAsia" w:ascii="仿宋" w:hAnsi="仿宋" w:eastAsia="仿宋" w:cs="仿宋"/>
          <w:snapToGrid/>
          <w:kern w:val="2"/>
          <w:sz w:val="32"/>
          <w:szCs w:val="40"/>
          <w:lang w:val="en-US" w:eastAsia="zh-CN"/>
        </w:rPr>
      </w:pPr>
      <w:r>
        <w:rPr>
          <w:rFonts w:hint="eastAsia" w:ascii="仿宋" w:hAnsi="仿宋" w:eastAsia="仿宋" w:cs="仿宋"/>
          <w:snapToGrid/>
          <w:kern w:val="2"/>
          <w:sz w:val="32"/>
          <w:szCs w:val="40"/>
          <w:lang w:val="en-US" w:eastAsia="zh-CN"/>
        </w:rPr>
        <w:t>附件1：</w:t>
      </w:r>
    </w:p>
    <w:p w14:paraId="0AC9A76E">
      <w:pPr>
        <w:widowControl/>
        <w:kinsoku/>
        <w:autoSpaceDE/>
        <w:autoSpaceDN/>
        <w:adjustRightInd/>
        <w:snapToGrid/>
        <w:spacing w:after="312" w:afterLines="100" w:line="240" w:lineRule="auto"/>
        <w:jc w:val="center"/>
        <w:textAlignment w:val="auto"/>
        <w:rPr>
          <w:rFonts w:hint="eastAsia" w:ascii="黑体" w:hAnsi="黑体" w:eastAsia="黑体" w:cs="黑体"/>
          <w:b/>
          <w:bCs/>
          <w:spacing w:val="6"/>
          <w:sz w:val="31"/>
          <w:szCs w:val="31"/>
          <w:lang w:eastAsia="zh-CN"/>
        </w:rPr>
      </w:pPr>
      <w:r>
        <w:rPr>
          <w:rFonts w:hint="eastAsia" w:ascii="华文中宋" w:hAnsi="华文中宋" w:eastAsia="华文中宋" w:cs="华文中宋"/>
          <w:b/>
          <w:bCs/>
          <w:snapToGrid/>
          <w:color w:val="000000"/>
          <w:kern w:val="2"/>
          <w:sz w:val="44"/>
          <w:szCs w:val="44"/>
          <w:lang w:val="en-US" w:eastAsia="zh-CN" w:bidi="ar-SA"/>
        </w:rPr>
        <w:t>社区服务企业等级评定指标及填报说明</w:t>
      </w:r>
    </w:p>
    <w:p w14:paraId="57333AF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snapToGrid/>
          <w:kern w:val="2"/>
          <w:sz w:val="32"/>
          <w:szCs w:val="40"/>
          <w:lang w:val="en-US" w:eastAsia="zh-CN"/>
        </w:rPr>
      </w:pPr>
      <w:r>
        <w:rPr>
          <w:rFonts w:hint="eastAsia" w:ascii="仿宋" w:hAnsi="仿宋" w:eastAsia="仿宋" w:cs="仿宋"/>
          <w:b/>
          <w:bCs/>
          <w:snapToGrid/>
          <w:kern w:val="2"/>
          <w:sz w:val="32"/>
          <w:szCs w:val="40"/>
          <w:lang w:val="en-US" w:eastAsia="zh-CN"/>
        </w:rPr>
        <w:t>一、指标与权值</w:t>
      </w:r>
    </w:p>
    <w:p w14:paraId="28669B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评定指标分为三级，即一级评定指标、二级评定指标和三级评定指标。指标设计遵循定量与定性相结合的原则，设计力求简便易行，便于理解和运用，同时又具有可操作性。</w:t>
      </w:r>
    </w:p>
    <w:p w14:paraId="3D53EC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napToGrid/>
          <w:kern w:val="2"/>
          <w:sz w:val="32"/>
          <w:szCs w:val="40"/>
          <w:lang w:val="en-US" w:eastAsia="zh-CN"/>
        </w:rPr>
      </w:pPr>
      <w:r>
        <w:rPr>
          <w:rFonts w:hint="eastAsia" w:ascii="仿宋" w:hAnsi="仿宋" w:eastAsia="仿宋" w:cs="仿宋"/>
          <w:snapToGrid/>
          <w:kern w:val="2"/>
          <w:sz w:val="32"/>
          <w:szCs w:val="40"/>
          <w:lang w:val="en-US" w:eastAsia="zh-CN"/>
        </w:rPr>
        <w:t>一级评定指标及权值如图：</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3510"/>
        <w:gridCol w:w="2025"/>
      </w:tblGrid>
      <w:tr w14:paraId="6D8E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4C6CB51A">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代表符号</w:t>
            </w:r>
          </w:p>
        </w:tc>
        <w:tc>
          <w:tcPr>
            <w:tcW w:w="3510" w:type="dxa"/>
            <w:vAlign w:val="top"/>
          </w:tcPr>
          <w:p w14:paraId="737B5EB0">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一级评定指标</w:t>
            </w:r>
          </w:p>
        </w:tc>
        <w:tc>
          <w:tcPr>
            <w:tcW w:w="2025" w:type="dxa"/>
            <w:vAlign w:val="top"/>
          </w:tcPr>
          <w:p w14:paraId="0D55A2F7">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权值</w:t>
            </w:r>
          </w:p>
        </w:tc>
      </w:tr>
      <w:tr w14:paraId="3DD9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0FA07475">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a</w:t>
            </w:r>
          </w:p>
        </w:tc>
        <w:tc>
          <w:tcPr>
            <w:tcW w:w="3510" w:type="dxa"/>
            <w:vAlign w:val="top"/>
          </w:tcPr>
          <w:p w14:paraId="1DC24491">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党建工作</w:t>
            </w:r>
          </w:p>
        </w:tc>
        <w:tc>
          <w:tcPr>
            <w:tcW w:w="2025" w:type="dxa"/>
            <w:vAlign w:val="top"/>
          </w:tcPr>
          <w:p w14:paraId="7E13EA58">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5%</w:t>
            </w:r>
          </w:p>
        </w:tc>
      </w:tr>
      <w:tr w14:paraId="58C5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32F16CC1">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b</w:t>
            </w:r>
          </w:p>
        </w:tc>
        <w:tc>
          <w:tcPr>
            <w:tcW w:w="3510" w:type="dxa"/>
            <w:vAlign w:val="top"/>
          </w:tcPr>
          <w:p w14:paraId="33DB57CB">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基础能力</w:t>
            </w:r>
          </w:p>
        </w:tc>
        <w:tc>
          <w:tcPr>
            <w:tcW w:w="2025" w:type="dxa"/>
            <w:vAlign w:val="top"/>
          </w:tcPr>
          <w:p w14:paraId="6B72C048">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20%</w:t>
            </w:r>
          </w:p>
        </w:tc>
      </w:tr>
      <w:tr w14:paraId="11C5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75854798">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c</w:t>
            </w:r>
          </w:p>
        </w:tc>
        <w:tc>
          <w:tcPr>
            <w:tcW w:w="3510" w:type="dxa"/>
            <w:vAlign w:val="top"/>
          </w:tcPr>
          <w:p w14:paraId="46E7ACE7">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经营效益</w:t>
            </w:r>
          </w:p>
        </w:tc>
        <w:tc>
          <w:tcPr>
            <w:tcW w:w="2025" w:type="dxa"/>
            <w:vAlign w:val="top"/>
          </w:tcPr>
          <w:p w14:paraId="75501C0A">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8%</w:t>
            </w:r>
          </w:p>
        </w:tc>
      </w:tr>
      <w:tr w14:paraId="392B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56E10125">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d</w:t>
            </w:r>
          </w:p>
        </w:tc>
        <w:tc>
          <w:tcPr>
            <w:tcW w:w="3510" w:type="dxa"/>
            <w:vAlign w:val="top"/>
          </w:tcPr>
          <w:p w14:paraId="094A4890">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项目管理</w:t>
            </w:r>
          </w:p>
        </w:tc>
        <w:tc>
          <w:tcPr>
            <w:tcW w:w="2025" w:type="dxa"/>
            <w:vAlign w:val="top"/>
          </w:tcPr>
          <w:p w14:paraId="6423F6DF">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40%</w:t>
            </w:r>
          </w:p>
        </w:tc>
      </w:tr>
      <w:tr w14:paraId="6E76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21285BB0">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e</w:t>
            </w:r>
          </w:p>
        </w:tc>
        <w:tc>
          <w:tcPr>
            <w:tcW w:w="3510" w:type="dxa"/>
            <w:vAlign w:val="top"/>
          </w:tcPr>
          <w:p w14:paraId="41ACFB57">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延伸服务</w:t>
            </w:r>
          </w:p>
        </w:tc>
        <w:tc>
          <w:tcPr>
            <w:tcW w:w="2025" w:type="dxa"/>
            <w:vAlign w:val="top"/>
          </w:tcPr>
          <w:p w14:paraId="57933FB6">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3%</w:t>
            </w:r>
          </w:p>
        </w:tc>
      </w:tr>
      <w:tr w14:paraId="1CF9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69D5982D">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f</w:t>
            </w:r>
          </w:p>
        </w:tc>
        <w:tc>
          <w:tcPr>
            <w:tcW w:w="3510" w:type="dxa"/>
            <w:vAlign w:val="top"/>
          </w:tcPr>
          <w:p w14:paraId="1C107A26">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满意状况</w:t>
            </w:r>
          </w:p>
        </w:tc>
        <w:tc>
          <w:tcPr>
            <w:tcW w:w="2025" w:type="dxa"/>
            <w:vAlign w:val="top"/>
          </w:tcPr>
          <w:p w14:paraId="78342B95">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15%</w:t>
            </w:r>
          </w:p>
        </w:tc>
      </w:tr>
      <w:tr w14:paraId="7F46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235AD4D6">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g</w:t>
            </w:r>
          </w:p>
        </w:tc>
        <w:tc>
          <w:tcPr>
            <w:tcW w:w="3510" w:type="dxa"/>
            <w:vAlign w:val="top"/>
          </w:tcPr>
          <w:p w14:paraId="69A4ECF1">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社会责任</w:t>
            </w:r>
          </w:p>
        </w:tc>
        <w:tc>
          <w:tcPr>
            <w:tcW w:w="2025" w:type="dxa"/>
            <w:vAlign w:val="top"/>
          </w:tcPr>
          <w:p w14:paraId="3D40D053">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6%</w:t>
            </w:r>
          </w:p>
        </w:tc>
      </w:tr>
      <w:tr w14:paraId="6852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5732A6CD">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h</w:t>
            </w:r>
          </w:p>
        </w:tc>
        <w:tc>
          <w:tcPr>
            <w:tcW w:w="3510" w:type="dxa"/>
            <w:vAlign w:val="top"/>
          </w:tcPr>
          <w:p w14:paraId="731AF902">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创新发展</w:t>
            </w:r>
          </w:p>
        </w:tc>
        <w:tc>
          <w:tcPr>
            <w:tcW w:w="2025" w:type="dxa"/>
            <w:vAlign w:val="top"/>
          </w:tcPr>
          <w:p w14:paraId="23E017D1">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3%</w:t>
            </w:r>
          </w:p>
        </w:tc>
      </w:tr>
      <w:tr w14:paraId="40D9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8" w:type="dxa"/>
            <w:vAlign w:val="top"/>
          </w:tcPr>
          <w:p w14:paraId="2F3C5508">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Z</w:t>
            </w:r>
          </w:p>
        </w:tc>
        <w:tc>
          <w:tcPr>
            <w:tcW w:w="5535" w:type="dxa"/>
            <w:gridSpan w:val="2"/>
            <w:vAlign w:val="top"/>
          </w:tcPr>
          <w:p w14:paraId="722F2249">
            <w:pPr>
              <w:pStyle w:val="6"/>
              <w:widowControl w:val="0"/>
              <w:spacing w:before="91" w:line="216" w:lineRule="auto"/>
              <w:jc w:val="center"/>
              <w:rPr>
                <w:rFonts w:hint="eastAsia"/>
                <w:spacing w:val="-3"/>
                <w:sz w:val="28"/>
                <w:szCs w:val="28"/>
                <w:lang w:val="en-US" w:eastAsia="zh-CN"/>
              </w:rPr>
            </w:pPr>
            <w:r>
              <w:rPr>
                <w:rFonts w:hint="eastAsia"/>
                <w:spacing w:val="-3"/>
                <w:sz w:val="28"/>
                <w:szCs w:val="28"/>
                <w:lang w:val="en-US" w:eastAsia="zh-CN"/>
              </w:rPr>
              <w:t>等级评定总分值设定为2000分</w:t>
            </w:r>
          </w:p>
        </w:tc>
      </w:tr>
    </w:tbl>
    <w:p w14:paraId="4C4956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权值方面，注重社区服务企业整体运营管理和在管项目管理情况（项目管理要根据参评企业实际开展的业务进行评定，分为</w:t>
      </w:r>
      <w:r>
        <w:rPr>
          <w:rFonts w:hint="eastAsia" w:ascii="仿宋" w:hAnsi="仿宋" w:eastAsia="仿宋" w:cs="仿宋"/>
          <w:b/>
          <w:bCs/>
          <w:snapToGrid/>
          <w:color w:val="000000"/>
          <w:kern w:val="2"/>
          <w:sz w:val="32"/>
          <w:szCs w:val="40"/>
          <w:lang w:val="en-US" w:eastAsia="zh-CN" w:bidi="ar-SA"/>
        </w:rPr>
        <w:t>物业管理、社区团餐、养老服务、家政服务、清洗保洁、安保服务、智慧运营</w:t>
      </w:r>
      <w:r>
        <w:rPr>
          <w:rFonts w:hint="eastAsia" w:ascii="仿宋" w:hAnsi="仿宋" w:eastAsia="仿宋" w:cs="仿宋"/>
          <w:b w:val="0"/>
          <w:bCs w:val="0"/>
          <w:snapToGrid/>
          <w:color w:val="000000"/>
          <w:kern w:val="2"/>
          <w:sz w:val="32"/>
          <w:szCs w:val="40"/>
          <w:lang w:val="en-US" w:eastAsia="zh-CN" w:bidi="ar-SA"/>
        </w:rPr>
        <w:t>七个类别），兼顾经营效益、相关方满意状况以及企业履行社会责任情况，鼓励企业开展延伸服务、创新发展。</w:t>
      </w:r>
    </w:p>
    <w:p w14:paraId="0478761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snapToGrid/>
          <w:kern w:val="2"/>
          <w:sz w:val="32"/>
          <w:szCs w:val="40"/>
          <w:lang w:val="en-US" w:eastAsia="zh-CN"/>
        </w:rPr>
      </w:pPr>
      <w:r>
        <w:rPr>
          <w:rFonts w:hint="eastAsia" w:ascii="仿宋" w:hAnsi="仿宋" w:eastAsia="仿宋" w:cs="仿宋"/>
          <w:b/>
          <w:bCs/>
          <w:snapToGrid/>
          <w:kern w:val="2"/>
          <w:sz w:val="32"/>
          <w:szCs w:val="40"/>
          <w:lang w:val="en-US" w:eastAsia="zh-CN"/>
        </w:rPr>
        <w:t>自我评分</w:t>
      </w:r>
    </w:p>
    <w:p w14:paraId="769685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参评企业按照《社区服务企业等级评定规范》(T/AHCSIA 1—2024)附录《评定指标》，结合现有资料得出自评分。同时，提供相应的资料作为证明，证明材料按照《评定指标》中的序号进行编排。</w:t>
      </w:r>
    </w:p>
    <w:p w14:paraId="52EEE49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snapToGrid/>
          <w:kern w:val="2"/>
          <w:sz w:val="32"/>
          <w:szCs w:val="40"/>
          <w:lang w:val="en-US" w:eastAsia="zh-CN"/>
        </w:rPr>
      </w:pPr>
      <w:r>
        <w:rPr>
          <w:rFonts w:hint="eastAsia" w:ascii="仿宋" w:hAnsi="仿宋" w:eastAsia="仿宋" w:cs="仿宋"/>
          <w:b/>
          <w:bCs/>
          <w:snapToGrid/>
          <w:kern w:val="2"/>
          <w:sz w:val="32"/>
          <w:szCs w:val="40"/>
          <w:lang w:val="en-US" w:eastAsia="zh-CN"/>
        </w:rPr>
        <w:t>三、填报说明</w:t>
      </w:r>
    </w:p>
    <w:p w14:paraId="27A8B59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（一）填报原则</w:t>
      </w:r>
    </w:p>
    <w:p w14:paraId="652B3A49">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auto"/>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在填报过程中，参评企业须遵循全面性、严谨性、准确性、真实性和及时性原则，确保填报工作的质量。所有提交的证明资料务必完</w:t>
      </w:r>
      <w:r>
        <w:rPr>
          <w:rFonts w:hint="eastAsia" w:ascii="仿宋" w:hAnsi="仿宋" w:eastAsia="仿宋" w:cs="仿宋"/>
          <w:b w:val="0"/>
          <w:bCs w:val="0"/>
          <w:snapToGrid/>
          <w:color w:val="auto"/>
          <w:kern w:val="2"/>
          <w:sz w:val="32"/>
          <w:szCs w:val="40"/>
          <w:lang w:val="en-US" w:eastAsia="zh-CN" w:bidi="ar-SA"/>
        </w:rPr>
        <w:t>整无缺、清晰可读且内容明确，</w:t>
      </w:r>
      <w:r>
        <w:rPr>
          <w:rFonts w:hint="eastAsia" w:cs="仿宋"/>
          <w:b w:val="0"/>
          <w:bCs w:val="0"/>
          <w:snapToGrid/>
          <w:color w:val="auto"/>
          <w:kern w:val="2"/>
          <w:sz w:val="32"/>
          <w:szCs w:val="40"/>
          <w:lang w:val="en-US" w:eastAsia="zh-CN" w:bidi="ar-SA"/>
        </w:rPr>
        <w:t>严禁随意编造数据</w:t>
      </w:r>
      <w:r>
        <w:rPr>
          <w:rFonts w:hint="eastAsia" w:ascii="仿宋" w:hAnsi="仿宋" w:eastAsia="仿宋" w:cs="仿宋"/>
          <w:b w:val="0"/>
          <w:bCs w:val="0"/>
          <w:snapToGrid/>
          <w:color w:val="auto"/>
          <w:kern w:val="2"/>
          <w:sz w:val="32"/>
          <w:szCs w:val="40"/>
          <w:lang w:val="en-US" w:eastAsia="zh-CN" w:bidi="ar-SA"/>
        </w:rPr>
        <w:t>。</w:t>
      </w:r>
    </w:p>
    <w:p w14:paraId="09FA4C5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（二）证明材料示例</w:t>
      </w:r>
    </w:p>
    <w:p w14:paraId="2F8E5BA2">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参评企业所提供证明资料将作为评定的重要依据，参评企业在填报时，应提供满足评定指标和符合企业内部管理的证明材料。这些证明材料应确保为原件影印件，对于企业线上管理平台产生的运行资料，需进行截图并备份无删减版的电子资料。在现场查验过程中，评定专家将要求查看资料原件，以核实其真实性和有效性。因此，请务必妥善保管相关证明资料原件，以便在需要时能够及时提供。</w:t>
      </w:r>
    </w:p>
    <w:p w14:paraId="6DD577C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提供完整、准确的证明材料，将有助于参评企业展示其合规性和管理能力。</w:t>
      </w:r>
    </w:p>
    <w:p w14:paraId="76AD7676">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（1）党建工作。如：民主评议资料应包含评议内容，确保信息的时效性和完整性。党员亮身份时，应提供相关照片，以便进行现场复核，确保身份的真实性。</w:t>
      </w:r>
    </w:p>
    <w:p w14:paraId="03ED58A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（2）基础能力。在日常运营中，参评企业应严格遵守国家法律法规，以及参评企业内部管理制度、标准、流程、规范。所有提交的资料应为归档保存的完整资料。所有提交的资料原件需备齐，以备现场查看。</w:t>
      </w:r>
    </w:p>
    <w:p w14:paraId="1A003B66">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（3）经营效益。参评企业依据企业经审计的财务报表（合并）内相关内容，按照《社区服务企业等级评定规范》(T/AHCSIA 1—2024)附录《评定指标》计算得出分值，应提供参评企业指标测算表，并注明在审计报告中具体页码数。</w:t>
      </w:r>
    </w:p>
    <w:p w14:paraId="470146E7">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（4）项目管理。提供的项目资料必须确保处于当前合同实施期间内，并应为已存档的资料。所有提交的资料原件需备齐，以备现场查看。</w:t>
      </w:r>
    </w:p>
    <w:p w14:paraId="5F34E7DF">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（5）延伸服务。提供已经存档的延伸服务策划方案资料、实施过程资料，不限于书面策划、审批记录、台账、服务现场照片、客户反馈、服务效果评估各类资料。</w:t>
      </w:r>
    </w:p>
    <w:p w14:paraId="1B18DCD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（6）满意状况。如：员工满意需提供已经存档的员工满意度测评资料，统计范围包括“满意”和“基本满意”，提取其中员工满意率。</w:t>
      </w:r>
    </w:p>
    <w:p w14:paraId="0071DF3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（7）社会责任。如：社会回报包括税务部门对企业的纳税信用等级评价结果，参评企业需以纳税人身份登录税务部门网站查询信用等级及纳税总额，并截图保存。</w:t>
      </w:r>
    </w:p>
    <w:p w14:paraId="62554112">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（8）创新发展。如：创新策划不限于策划文本、通知及宣贯资料等。</w:t>
      </w:r>
    </w:p>
    <w:p w14:paraId="294BDE2A">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bookmarkStart w:id="0" w:name="_GoBack"/>
      <w:bookmarkEnd w:id="0"/>
    </w:p>
    <w:p w14:paraId="253251A3">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p>
    <w:p w14:paraId="0D596E2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C36CF"/>
    <w:multiLevelType w:val="singleLevel"/>
    <w:tmpl w:val="6A1C36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C19D8"/>
    <w:rsid w:val="25B24E61"/>
    <w:rsid w:val="38AC19D8"/>
    <w:rsid w:val="400D3374"/>
    <w:rsid w:val="4DFC129C"/>
    <w:rsid w:val="4F8E5B53"/>
    <w:rsid w:val="6A045551"/>
    <w:rsid w:val="6F16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1328</Words>
  <Characters>1366</Characters>
  <Lines>0</Lines>
  <Paragraphs>0</Paragraphs>
  <TotalTime>0</TotalTime>
  <ScaleCrop>false</ScaleCrop>
  <LinksUpToDate>false</LinksUpToDate>
  <CharactersWithSpaces>1368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2025-04-18T09:07:00Z</dcterms:created>
  <dc:creator>安徽省社区服务业协会</dc:creator>
  <cp:lastModifiedBy>安徽省社区服务业协会</cp:lastModifiedBy>
  <dcterms:modified xsi:type="dcterms:W3CDTF">2025-04-21T03:14:29Z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96BECC495AF3416D9319D929F520CD39_11</vt:lpwstr>
  </property>
  <property fmtid="{D5CDD505-2E9C-101B-9397-08002B2CF9AE}" pid="4" name="KSOTemplateDocerSaveRecord">
    <vt:lpwstr>eyJoZGlkIjoiOWQwZjZlZDE1MTE1MDljMDgyMTc0MmI2MDhjM2Q5MmMiLCJ1c2VySWQiOiIxNTU1ODU4MzY2In0=</vt:lpwstr>
  </property>
</Properties>
</file>