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F50A0">
      <w:pPr>
        <w:rPr>
          <w:rFonts w:hint="eastAsia"/>
          <w:sz w:val="28"/>
          <w:szCs w:val="36"/>
          <w:lang w:val="en-US" w:eastAsia="zh-CN"/>
        </w:rPr>
      </w:pPr>
      <w:r>
        <w:rPr>
          <w:rFonts w:hint="eastAsia"/>
          <w:sz w:val="28"/>
          <w:szCs w:val="36"/>
          <w:lang w:val="en-US" w:eastAsia="zh-CN"/>
        </w:rPr>
        <w:t>附件2：</w:t>
      </w:r>
    </w:p>
    <w:p w14:paraId="7011B6F7">
      <w:pPr>
        <w:bidi w:val="0"/>
        <w:jc w:val="center"/>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材料清单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95"/>
        <w:gridCol w:w="7880"/>
      </w:tblGrid>
      <w:tr w14:paraId="353D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95" w:type="dxa"/>
            <w:shd w:val="clear" w:color="auto" w:fill="FFFFFF"/>
            <w:noWrap w:val="0"/>
            <w:vAlign w:val="center"/>
          </w:tcPr>
          <w:p w14:paraId="22117F6C">
            <w:pPr>
              <w:keepNext w:val="0"/>
              <w:keepLines w:val="0"/>
              <w:pageBreakBefore w:val="0"/>
              <w:kinsoku/>
              <w:wordWrap/>
              <w:overflowPunct/>
              <w:topLinePunct w:val="0"/>
              <w:autoSpaceDE/>
              <w:autoSpaceDN/>
              <w:bidi w:val="0"/>
              <w:adjustRightInd/>
              <w:snapToGrid w:val="0"/>
              <w:spacing w:line="400" w:lineRule="exact"/>
              <w:ind w:left="240" w:hanging="240" w:hangingChars="100"/>
              <w:jc w:val="center"/>
              <w:textAlignment w:val="auto"/>
              <w:rPr>
                <w:rFonts w:hint="eastAsia" w:ascii="黑体" w:hAnsi="黑体" w:eastAsia="黑体" w:cs="黑体"/>
                <w:bCs/>
                <w:color w:val="auto"/>
                <w:sz w:val="24"/>
              </w:rPr>
            </w:pPr>
            <w:r>
              <w:rPr>
                <w:rFonts w:hint="eastAsia" w:ascii="黑体" w:hAnsi="黑体" w:eastAsia="黑体" w:cs="黑体"/>
                <w:bCs/>
                <w:color w:val="auto"/>
                <w:sz w:val="24"/>
              </w:rPr>
              <w:t>项目</w:t>
            </w:r>
          </w:p>
        </w:tc>
        <w:tc>
          <w:tcPr>
            <w:tcW w:w="7880" w:type="dxa"/>
            <w:shd w:val="clear" w:color="auto" w:fill="FFFFFF"/>
            <w:noWrap w:val="0"/>
            <w:vAlign w:val="center"/>
          </w:tcPr>
          <w:p w14:paraId="7E9777A2">
            <w:pPr>
              <w:keepNext w:val="0"/>
              <w:keepLines w:val="0"/>
              <w:pageBreakBefore w:val="0"/>
              <w:kinsoku/>
              <w:wordWrap/>
              <w:overflowPunct/>
              <w:topLinePunct w:val="0"/>
              <w:autoSpaceDE/>
              <w:autoSpaceDN/>
              <w:bidi w:val="0"/>
              <w:adjustRightInd/>
              <w:snapToGrid w:val="0"/>
              <w:spacing w:line="400" w:lineRule="exact"/>
              <w:ind w:left="240" w:hanging="240" w:hangingChars="100"/>
              <w:jc w:val="center"/>
              <w:textAlignment w:val="auto"/>
              <w:rPr>
                <w:rFonts w:hint="eastAsia" w:ascii="黑体" w:hAnsi="黑体" w:eastAsia="黑体" w:cs="黑体"/>
                <w:bCs/>
                <w:color w:val="auto"/>
                <w:sz w:val="24"/>
              </w:rPr>
            </w:pPr>
            <w:r>
              <w:rPr>
                <w:rFonts w:hint="eastAsia" w:ascii="黑体" w:hAnsi="黑体" w:eastAsia="黑体" w:cs="黑体"/>
                <w:bCs/>
                <w:color w:val="auto"/>
                <w:sz w:val="24"/>
              </w:rPr>
              <w:t>材料名称</w:t>
            </w:r>
          </w:p>
        </w:tc>
      </w:tr>
      <w:tr w14:paraId="217E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restart"/>
            <w:shd w:val="clear" w:color="auto" w:fill="FFFFFF"/>
            <w:noWrap w:val="0"/>
            <w:vAlign w:val="center"/>
          </w:tcPr>
          <w:p w14:paraId="17F2A9BD">
            <w:pPr>
              <w:keepNext w:val="0"/>
              <w:keepLines w:val="0"/>
              <w:pageBreakBefore w:val="0"/>
              <w:kinsoku/>
              <w:wordWrap/>
              <w:overflowPunct/>
              <w:topLinePunct w:val="0"/>
              <w:autoSpaceDE/>
              <w:autoSpaceDN/>
              <w:bidi w:val="0"/>
              <w:adjustRightInd/>
              <w:snapToGrid w:val="0"/>
              <w:spacing w:line="400" w:lineRule="exact"/>
              <w:ind w:left="241" w:hanging="241" w:hangingChars="100"/>
              <w:jc w:val="center"/>
              <w:textAlignment w:val="auto"/>
              <w:rPr>
                <w:rFonts w:eastAsia="仿宋"/>
                <w:b/>
                <w:bCs/>
                <w:color w:val="auto"/>
                <w:sz w:val="24"/>
              </w:rPr>
            </w:pPr>
            <w:r>
              <w:rPr>
                <w:rFonts w:eastAsia="仿宋"/>
                <w:b/>
                <w:bCs/>
                <w:color w:val="auto"/>
                <w:sz w:val="24"/>
              </w:rPr>
              <w:t>基本材料</w:t>
            </w:r>
          </w:p>
        </w:tc>
        <w:tc>
          <w:tcPr>
            <w:tcW w:w="7880" w:type="dxa"/>
            <w:shd w:val="clear" w:color="auto" w:fill="FFFFFF"/>
            <w:noWrap w:val="0"/>
            <w:vAlign w:val="center"/>
          </w:tcPr>
          <w:p w14:paraId="13322B7A">
            <w:pPr>
              <w:keepNext w:val="0"/>
              <w:keepLines w:val="0"/>
              <w:pageBreakBefore w:val="0"/>
              <w:kinsoku/>
              <w:wordWrap/>
              <w:overflowPunct/>
              <w:topLinePunct w:val="0"/>
              <w:autoSpaceDE/>
              <w:autoSpaceDN/>
              <w:bidi w:val="0"/>
              <w:adjustRightInd/>
              <w:snapToGrid w:val="0"/>
              <w:spacing w:line="400" w:lineRule="exact"/>
              <w:ind w:left="240" w:hanging="240" w:hangingChars="100"/>
              <w:textAlignment w:val="auto"/>
              <w:rPr>
                <w:rFonts w:eastAsia="仿宋_GB2312"/>
                <w:color w:val="auto"/>
                <w:sz w:val="24"/>
              </w:rPr>
            </w:pPr>
            <w:r>
              <w:rPr>
                <w:rFonts w:eastAsia="仿宋_GB2312"/>
                <w:color w:val="auto"/>
                <w:sz w:val="24"/>
              </w:rPr>
              <w:t>1.营业执照</w:t>
            </w:r>
            <w:r>
              <w:rPr>
                <w:rFonts w:hint="eastAsia" w:eastAsia="仿宋_GB2312"/>
                <w:color w:val="auto"/>
                <w:sz w:val="24"/>
              </w:rPr>
              <w:t>、提供近3年</w:t>
            </w:r>
            <w:r>
              <w:rPr>
                <w:rFonts w:hint="eastAsia" w:eastAsia="仿宋_GB2312"/>
                <w:color w:val="auto"/>
                <w:sz w:val="24"/>
                <w:lang w:val="en-US" w:eastAsia="zh-CN"/>
              </w:rPr>
              <w:t>无</w:t>
            </w:r>
            <w:bookmarkStart w:id="0" w:name="_GoBack"/>
            <w:bookmarkEnd w:id="0"/>
            <w:r>
              <w:rPr>
                <w:rFonts w:hint="eastAsia" w:eastAsia="仿宋_GB2312"/>
                <w:color w:val="auto"/>
                <w:sz w:val="24"/>
              </w:rPr>
              <w:t>违法违规声明函；</w:t>
            </w:r>
          </w:p>
        </w:tc>
      </w:tr>
      <w:tr w14:paraId="7B0C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continue"/>
            <w:shd w:val="clear" w:color="auto" w:fill="FFFFFF"/>
            <w:noWrap w:val="0"/>
            <w:vAlign w:val="center"/>
          </w:tcPr>
          <w:p w14:paraId="5CFDC57C">
            <w:pPr>
              <w:keepNext w:val="0"/>
              <w:keepLines w:val="0"/>
              <w:pageBreakBefore w:val="0"/>
              <w:kinsoku/>
              <w:wordWrap/>
              <w:overflowPunct/>
              <w:topLinePunct w:val="0"/>
              <w:autoSpaceDE/>
              <w:autoSpaceDN/>
              <w:bidi w:val="0"/>
              <w:adjustRightInd/>
              <w:snapToGrid w:val="0"/>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14:paraId="3378517D">
            <w:pPr>
              <w:keepNext w:val="0"/>
              <w:keepLines w:val="0"/>
              <w:pageBreakBefore w:val="0"/>
              <w:kinsoku/>
              <w:wordWrap/>
              <w:overflowPunct/>
              <w:topLinePunct w:val="0"/>
              <w:autoSpaceDE/>
              <w:autoSpaceDN/>
              <w:bidi w:val="0"/>
              <w:adjustRightInd/>
              <w:snapToGrid w:val="0"/>
              <w:spacing w:line="400" w:lineRule="exact"/>
              <w:ind w:left="240" w:hanging="240" w:hangingChars="100"/>
              <w:textAlignment w:val="auto"/>
              <w:rPr>
                <w:rFonts w:hint="eastAsia" w:eastAsia="仿宋_GB2312"/>
                <w:color w:val="auto"/>
                <w:sz w:val="24"/>
              </w:rPr>
            </w:pPr>
            <w:r>
              <w:rPr>
                <w:rFonts w:eastAsia="仿宋_GB2312"/>
                <w:color w:val="auto"/>
                <w:sz w:val="24"/>
              </w:rPr>
              <w:t>2.资质证书</w:t>
            </w:r>
            <w:r>
              <w:rPr>
                <w:rFonts w:hint="eastAsia" w:eastAsia="仿宋_GB2312"/>
                <w:color w:val="auto"/>
                <w:sz w:val="24"/>
                <w:lang w:eastAsia="zh-CN"/>
              </w:rPr>
              <w:t>；</w:t>
            </w:r>
            <w:r>
              <w:rPr>
                <w:rFonts w:hint="eastAsia" w:eastAsia="仿宋_GB2312"/>
                <w:color w:val="auto"/>
                <w:sz w:val="24"/>
              </w:rPr>
              <w:t>权威机构或省级行业协会或政府部门颁发的各类信用评级等级证书、获得各级党委、政府以及主管部门表彰、奖励的正式文件</w:t>
            </w:r>
            <w:r>
              <w:rPr>
                <w:rFonts w:eastAsia="仿宋_GB2312"/>
                <w:color w:val="auto"/>
                <w:sz w:val="24"/>
              </w:rPr>
              <w:t>等</w:t>
            </w:r>
            <w:r>
              <w:rPr>
                <w:rFonts w:hint="eastAsia" w:eastAsia="仿宋_GB2312"/>
                <w:color w:val="auto"/>
                <w:sz w:val="24"/>
              </w:rPr>
              <w:t>证件</w:t>
            </w:r>
            <w:r>
              <w:rPr>
                <w:rFonts w:eastAsia="仿宋_GB2312"/>
                <w:color w:val="auto"/>
                <w:sz w:val="24"/>
              </w:rPr>
              <w:t>；</w:t>
            </w:r>
            <w:r>
              <w:rPr>
                <w:rFonts w:hint="eastAsia" w:eastAsia="仿宋_GB2312"/>
                <w:color w:val="auto"/>
                <w:sz w:val="24"/>
              </w:rPr>
              <w:t>获得各级党委、政府以及行业管理相关职能部门认定并推广的科技创新成果等相关部门认定材料；</w:t>
            </w:r>
          </w:p>
        </w:tc>
      </w:tr>
      <w:tr w14:paraId="0619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continue"/>
            <w:shd w:val="clear" w:color="auto" w:fill="FFFFFF"/>
            <w:noWrap w:val="0"/>
            <w:vAlign w:val="center"/>
          </w:tcPr>
          <w:p w14:paraId="13B1F0BD">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14:paraId="3FB20D43">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eastAsia="仿宋_GB2312"/>
                <w:color w:val="auto"/>
                <w:sz w:val="24"/>
              </w:rPr>
              <w:t>3.</w:t>
            </w:r>
            <w:r>
              <w:rPr>
                <w:rFonts w:hint="eastAsia" w:eastAsia="仿宋_GB2312"/>
                <w:color w:val="auto"/>
                <w:sz w:val="24"/>
              </w:rPr>
              <w:t>提供行业协会出具的上一年度完成行业自律、检查相关证明文件</w:t>
            </w:r>
            <w:r>
              <w:rPr>
                <w:rFonts w:eastAsia="仿宋_GB2312"/>
                <w:color w:val="auto"/>
                <w:sz w:val="24"/>
              </w:rPr>
              <w:t>；</w:t>
            </w:r>
          </w:p>
        </w:tc>
      </w:tr>
      <w:tr w14:paraId="3D45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95" w:type="dxa"/>
            <w:vMerge w:val="continue"/>
            <w:shd w:val="clear" w:color="auto" w:fill="FFFFFF"/>
            <w:noWrap w:val="0"/>
            <w:vAlign w:val="center"/>
          </w:tcPr>
          <w:p w14:paraId="7B74D5B1">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14:paraId="17FCC2B1">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lang w:val="en-US" w:eastAsia="zh-CN"/>
              </w:rPr>
              <w:t>4</w:t>
            </w:r>
            <w:r>
              <w:rPr>
                <w:rFonts w:eastAsia="仿宋_GB2312"/>
                <w:color w:val="auto"/>
                <w:sz w:val="24"/>
              </w:rPr>
              <w:t>.</w:t>
            </w:r>
            <w:r>
              <w:rPr>
                <w:rFonts w:hint="eastAsia" w:eastAsia="仿宋_GB2312"/>
                <w:color w:val="auto"/>
                <w:sz w:val="24"/>
              </w:rPr>
              <w:t>近1年有无被投诉，若有投诉提供相关证明材料，无则不需提供</w:t>
            </w:r>
            <w:r>
              <w:rPr>
                <w:rFonts w:eastAsia="仿宋_GB2312"/>
                <w:color w:val="auto"/>
                <w:sz w:val="24"/>
              </w:rPr>
              <w:t>；</w:t>
            </w:r>
          </w:p>
        </w:tc>
      </w:tr>
      <w:tr w14:paraId="73C7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95" w:type="dxa"/>
            <w:vMerge w:val="restart"/>
            <w:shd w:val="clear" w:color="auto" w:fill="FFFFFF"/>
            <w:noWrap w:val="0"/>
            <w:vAlign w:val="center"/>
          </w:tcPr>
          <w:p w14:paraId="50DC39CD">
            <w:pPr>
              <w:keepNext w:val="0"/>
              <w:keepLines w:val="0"/>
              <w:pageBreakBefore w:val="0"/>
              <w:kinsoku/>
              <w:wordWrap/>
              <w:overflowPunct/>
              <w:topLinePunct w:val="0"/>
              <w:autoSpaceDE/>
              <w:autoSpaceDN/>
              <w:bidi w:val="0"/>
              <w:adjustRightInd/>
              <w:spacing w:line="400" w:lineRule="exact"/>
              <w:jc w:val="center"/>
              <w:textAlignment w:val="auto"/>
              <w:rPr>
                <w:rFonts w:eastAsia="仿宋"/>
                <w:b/>
                <w:bCs/>
                <w:color w:val="auto"/>
                <w:sz w:val="24"/>
              </w:rPr>
            </w:pPr>
            <w:r>
              <w:rPr>
                <w:rFonts w:eastAsia="仿宋"/>
                <w:b/>
                <w:bCs/>
                <w:color w:val="auto"/>
                <w:sz w:val="24"/>
              </w:rPr>
              <w:t>人力资源</w:t>
            </w:r>
          </w:p>
        </w:tc>
        <w:tc>
          <w:tcPr>
            <w:tcW w:w="7880" w:type="dxa"/>
            <w:shd w:val="clear" w:color="auto" w:fill="FFFFFF"/>
            <w:noWrap w:val="0"/>
            <w:vAlign w:val="center"/>
          </w:tcPr>
          <w:p w14:paraId="185433DE">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lang w:val="en-US" w:eastAsia="zh-CN"/>
              </w:rPr>
              <w:t>5</w:t>
            </w:r>
            <w:r>
              <w:rPr>
                <w:rFonts w:eastAsia="仿宋_GB2312"/>
                <w:color w:val="auto"/>
                <w:sz w:val="24"/>
              </w:rPr>
              <w:t>.高层管理人员（董事长</w:t>
            </w:r>
            <w:r>
              <w:rPr>
                <w:rFonts w:hint="eastAsia" w:eastAsia="仿宋_GB2312"/>
                <w:color w:val="auto"/>
                <w:sz w:val="24"/>
              </w:rPr>
              <w:t>、</w:t>
            </w:r>
            <w:r>
              <w:rPr>
                <w:rFonts w:eastAsia="仿宋_GB2312"/>
                <w:color w:val="auto"/>
                <w:sz w:val="24"/>
              </w:rPr>
              <w:t>执行董事或总经理等）工作简历（包括学历</w:t>
            </w:r>
            <w:r>
              <w:rPr>
                <w:rFonts w:hint="eastAsia" w:eastAsia="仿宋_GB2312"/>
                <w:color w:val="auto"/>
                <w:sz w:val="24"/>
              </w:rPr>
              <w:t>、</w:t>
            </w:r>
            <w:r>
              <w:rPr>
                <w:rFonts w:eastAsia="仿宋_GB2312"/>
                <w:color w:val="auto"/>
                <w:sz w:val="24"/>
              </w:rPr>
              <w:t>职称证明</w:t>
            </w:r>
            <w:r>
              <w:rPr>
                <w:rFonts w:hint="eastAsia" w:eastAsia="仿宋_GB2312"/>
                <w:color w:val="auto"/>
                <w:sz w:val="24"/>
              </w:rPr>
              <w:t>、</w:t>
            </w:r>
            <w:r>
              <w:rPr>
                <w:rFonts w:eastAsia="仿宋_GB2312"/>
                <w:color w:val="auto"/>
                <w:sz w:val="24"/>
              </w:rPr>
              <w:t>荣誉等）</w:t>
            </w:r>
            <w:r>
              <w:rPr>
                <w:rFonts w:hint="eastAsia" w:eastAsia="仿宋_GB2312"/>
                <w:color w:val="auto"/>
                <w:sz w:val="24"/>
                <w:lang w:val="en-US" w:eastAsia="zh-CN"/>
              </w:rPr>
              <w:t>提供一人</w:t>
            </w:r>
            <w:r>
              <w:rPr>
                <w:rFonts w:eastAsia="仿宋_GB2312"/>
                <w:color w:val="auto"/>
                <w:sz w:val="24"/>
              </w:rPr>
              <w:t>；</w:t>
            </w:r>
          </w:p>
        </w:tc>
      </w:tr>
      <w:tr w14:paraId="27E2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95" w:type="dxa"/>
            <w:vMerge w:val="continue"/>
            <w:shd w:val="clear" w:color="auto" w:fill="FFFFFF"/>
            <w:noWrap w:val="0"/>
            <w:vAlign w:val="center"/>
          </w:tcPr>
          <w:p w14:paraId="5B9E9619">
            <w:pPr>
              <w:keepNext w:val="0"/>
              <w:keepLines w:val="0"/>
              <w:pageBreakBefore w:val="0"/>
              <w:kinsoku/>
              <w:wordWrap/>
              <w:overflowPunct/>
              <w:topLinePunct w:val="0"/>
              <w:autoSpaceDE/>
              <w:autoSpaceDN/>
              <w:bidi w:val="0"/>
              <w:adjustRightInd/>
              <w:spacing w:line="400" w:lineRule="exact"/>
              <w:ind w:left="240" w:hanging="210" w:hangingChars="100"/>
              <w:textAlignment w:val="auto"/>
            </w:pPr>
          </w:p>
        </w:tc>
        <w:tc>
          <w:tcPr>
            <w:tcW w:w="7880" w:type="dxa"/>
            <w:shd w:val="clear" w:color="auto" w:fill="FFFFFF"/>
            <w:noWrap w:val="0"/>
            <w:vAlign w:val="center"/>
          </w:tcPr>
          <w:p w14:paraId="3BBBD511">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lang w:val="en-US" w:eastAsia="zh-CN"/>
              </w:rPr>
              <w:t>6</w:t>
            </w:r>
            <w:r>
              <w:rPr>
                <w:rFonts w:eastAsia="仿宋_GB2312"/>
                <w:color w:val="auto"/>
                <w:sz w:val="24"/>
              </w:rPr>
              <w:t>.</w:t>
            </w:r>
            <w:r>
              <w:rPr>
                <w:rFonts w:hint="eastAsia" w:eastAsia="仿宋_GB2312"/>
                <w:color w:val="auto"/>
                <w:sz w:val="24"/>
              </w:rPr>
              <w:t>提供员工花名册或社保缴纳证明、培训证明材料或培训证书材料、具有相关职业资格证书的人员数量</w:t>
            </w:r>
            <w:r>
              <w:rPr>
                <w:rFonts w:eastAsia="仿宋_GB2312"/>
                <w:color w:val="auto"/>
                <w:sz w:val="24"/>
              </w:rPr>
              <w:t>；</w:t>
            </w:r>
          </w:p>
        </w:tc>
      </w:tr>
      <w:tr w14:paraId="7A5C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restart"/>
            <w:shd w:val="clear" w:color="auto" w:fill="FFFFFF"/>
            <w:noWrap w:val="0"/>
            <w:vAlign w:val="center"/>
          </w:tcPr>
          <w:p w14:paraId="430DE7BB">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管理状况</w:t>
            </w:r>
          </w:p>
        </w:tc>
        <w:tc>
          <w:tcPr>
            <w:tcW w:w="7880" w:type="dxa"/>
            <w:shd w:val="clear" w:color="auto" w:fill="FFFFFF"/>
            <w:noWrap w:val="0"/>
            <w:vAlign w:val="center"/>
          </w:tcPr>
          <w:p w14:paraId="5BC43A34">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eastAsia="仿宋_GB2312"/>
                <w:color w:val="auto"/>
                <w:sz w:val="24"/>
              </w:rPr>
              <w:t>7.</w:t>
            </w:r>
            <w:r>
              <w:rPr>
                <w:rFonts w:hint="eastAsia" w:eastAsia="仿宋_GB2312"/>
                <w:color w:val="auto"/>
                <w:sz w:val="24"/>
              </w:rPr>
              <w:t>提供</w:t>
            </w:r>
            <w:r>
              <w:rPr>
                <w:rFonts w:eastAsia="仿宋_GB2312"/>
                <w:color w:val="auto"/>
                <w:sz w:val="24"/>
              </w:rPr>
              <w:t>有效期内质量</w:t>
            </w:r>
            <w:r>
              <w:rPr>
                <w:rFonts w:hint="eastAsia" w:eastAsia="仿宋_GB2312"/>
                <w:color w:val="auto"/>
                <w:sz w:val="24"/>
              </w:rPr>
              <w:t>、</w:t>
            </w:r>
            <w:r>
              <w:rPr>
                <w:rFonts w:eastAsia="仿宋_GB2312"/>
                <w:color w:val="auto"/>
                <w:sz w:val="24"/>
              </w:rPr>
              <w:t>安全</w:t>
            </w:r>
            <w:r>
              <w:rPr>
                <w:rFonts w:hint="eastAsia" w:eastAsia="仿宋_GB2312"/>
                <w:color w:val="auto"/>
                <w:sz w:val="24"/>
              </w:rPr>
              <w:t>、</w:t>
            </w:r>
            <w:r>
              <w:rPr>
                <w:rFonts w:eastAsia="仿宋_GB2312"/>
                <w:color w:val="auto"/>
                <w:sz w:val="24"/>
              </w:rPr>
              <w:t>环保管理等认证体系证书；</w:t>
            </w:r>
            <w:r>
              <w:rPr>
                <w:rFonts w:hint="eastAsia" w:eastAsia="仿宋_GB2312"/>
                <w:color w:val="auto"/>
                <w:sz w:val="24"/>
              </w:rPr>
              <w:t>标准化试点单位证明；参与编写国际、国家行业标准证明；编写地方、团体标准证明等；</w:t>
            </w:r>
          </w:p>
        </w:tc>
      </w:tr>
      <w:tr w14:paraId="36E4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continue"/>
            <w:shd w:val="clear" w:color="auto" w:fill="FFFFFF"/>
            <w:noWrap w:val="0"/>
            <w:vAlign w:val="center"/>
          </w:tcPr>
          <w:p w14:paraId="522FB11B">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14:paraId="02B2F3A8">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rPr>
              <w:t>8.提供公司各项规章</w:t>
            </w:r>
            <w:r>
              <w:rPr>
                <w:rFonts w:hint="eastAsia" w:eastAsia="仿宋_GB2312"/>
                <w:color w:val="auto"/>
                <w:sz w:val="24"/>
                <w:lang w:val="en-US" w:eastAsia="zh-CN"/>
              </w:rPr>
              <w:t>管理</w:t>
            </w:r>
            <w:r>
              <w:rPr>
                <w:rFonts w:hint="eastAsia" w:eastAsia="仿宋_GB2312"/>
                <w:color w:val="auto"/>
                <w:sz w:val="24"/>
              </w:rPr>
              <w:t>制度文件；</w:t>
            </w:r>
          </w:p>
        </w:tc>
      </w:tr>
      <w:tr w14:paraId="5917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shd w:val="clear" w:color="auto" w:fill="FFFFFF"/>
            <w:noWrap w:val="0"/>
            <w:vAlign w:val="center"/>
          </w:tcPr>
          <w:p w14:paraId="6BFC4C8E">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经营业绩</w:t>
            </w:r>
          </w:p>
          <w:p w14:paraId="24336716">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状况</w:t>
            </w:r>
          </w:p>
        </w:tc>
        <w:tc>
          <w:tcPr>
            <w:tcW w:w="7880" w:type="dxa"/>
            <w:shd w:val="clear" w:color="auto" w:fill="FFFFFF"/>
            <w:noWrap w:val="0"/>
            <w:vAlign w:val="center"/>
          </w:tcPr>
          <w:p w14:paraId="2CA1F7AC">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hint="eastAsia" w:eastAsia="仿宋_GB2312"/>
                <w:color w:val="auto"/>
                <w:sz w:val="24"/>
              </w:rPr>
              <w:t>9</w:t>
            </w:r>
            <w:r>
              <w:rPr>
                <w:rFonts w:eastAsia="仿宋_GB2312"/>
                <w:color w:val="auto"/>
                <w:sz w:val="24"/>
              </w:rPr>
              <w:t>.</w:t>
            </w:r>
            <w:r>
              <w:rPr>
                <w:rFonts w:hint="eastAsia" w:eastAsia="仿宋_GB2312"/>
                <w:color w:val="auto"/>
                <w:sz w:val="24"/>
              </w:rPr>
              <w:t>在管</w:t>
            </w:r>
            <w:r>
              <w:rPr>
                <w:rFonts w:eastAsia="仿宋_GB2312"/>
                <w:color w:val="auto"/>
                <w:sz w:val="24"/>
              </w:rPr>
              <w:t>项目工程情况汇总表（</w:t>
            </w:r>
            <w:r>
              <w:rPr>
                <w:rFonts w:hint="eastAsia" w:eastAsia="仿宋_GB2312"/>
                <w:color w:val="auto"/>
                <w:sz w:val="24"/>
              </w:rPr>
              <w:t>项目协议、合同文件、项目数、面积</w:t>
            </w:r>
            <w:r>
              <w:rPr>
                <w:rFonts w:eastAsia="仿宋_GB2312"/>
                <w:color w:val="auto"/>
                <w:sz w:val="24"/>
              </w:rPr>
              <w:t>等）；</w:t>
            </w:r>
          </w:p>
        </w:tc>
      </w:tr>
      <w:tr w14:paraId="1B00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restart"/>
            <w:shd w:val="clear" w:color="auto" w:fill="FFFFFF"/>
            <w:noWrap w:val="0"/>
            <w:vAlign w:val="center"/>
          </w:tcPr>
          <w:p w14:paraId="7D761556">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财务状况</w:t>
            </w:r>
          </w:p>
        </w:tc>
        <w:tc>
          <w:tcPr>
            <w:tcW w:w="7880" w:type="dxa"/>
            <w:shd w:val="clear" w:color="auto" w:fill="FFFFFF"/>
            <w:noWrap w:val="0"/>
            <w:vAlign w:val="center"/>
          </w:tcPr>
          <w:p w14:paraId="5AD4FF27">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hint="eastAsia" w:eastAsia="仿宋_GB2312"/>
                <w:color w:val="auto"/>
                <w:sz w:val="24"/>
              </w:rPr>
            </w:pPr>
            <w:r>
              <w:rPr>
                <w:rFonts w:eastAsia="仿宋_GB2312"/>
                <w:color w:val="auto"/>
                <w:sz w:val="24"/>
              </w:rPr>
              <w:t>10.</w:t>
            </w:r>
            <w:r>
              <w:rPr>
                <w:rFonts w:hint="eastAsia" w:eastAsia="仿宋_GB2312"/>
                <w:color w:val="auto"/>
                <w:sz w:val="24"/>
              </w:rPr>
              <w:t>提供近</w:t>
            </w:r>
            <w:r>
              <w:rPr>
                <w:rFonts w:hint="eastAsia" w:eastAsia="仿宋_GB2312"/>
                <w:color w:val="auto"/>
                <w:sz w:val="24"/>
                <w:lang w:val="en-US" w:eastAsia="zh-CN"/>
              </w:rPr>
              <w:t>3</w:t>
            </w:r>
            <w:r>
              <w:rPr>
                <w:rFonts w:hint="eastAsia" w:eastAsia="仿宋_GB2312"/>
                <w:color w:val="auto"/>
                <w:sz w:val="24"/>
              </w:rPr>
              <w:t>年审计报告（若无审计报告可提供</w:t>
            </w:r>
            <w:r>
              <w:rPr>
                <w:rFonts w:hint="eastAsia" w:eastAsia="仿宋_GB2312"/>
                <w:color w:val="auto"/>
                <w:sz w:val="24"/>
                <w:lang w:eastAsia="zh-CN"/>
              </w:rPr>
              <w:t>年度</w:t>
            </w:r>
            <w:r>
              <w:rPr>
                <w:rFonts w:hint="eastAsia" w:eastAsia="仿宋_GB2312"/>
                <w:color w:val="auto"/>
                <w:sz w:val="24"/>
              </w:rPr>
              <w:t>财务报表）</w:t>
            </w:r>
          </w:p>
        </w:tc>
      </w:tr>
      <w:tr w14:paraId="796F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vMerge w:val="continue"/>
            <w:shd w:val="clear" w:color="auto" w:fill="FFFFFF"/>
            <w:noWrap w:val="0"/>
            <w:vAlign w:val="center"/>
          </w:tcPr>
          <w:p w14:paraId="1A35865C">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p>
        </w:tc>
        <w:tc>
          <w:tcPr>
            <w:tcW w:w="7880" w:type="dxa"/>
            <w:shd w:val="clear" w:color="auto" w:fill="FFFFFF"/>
            <w:noWrap w:val="0"/>
            <w:vAlign w:val="center"/>
          </w:tcPr>
          <w:p w14:paraId="04372275">
            <w:pPr>
              <w:keepNext w:val="0"/>
              <w:keepLines w:val="0"/>
              <w:pageBreakBefore w:val="0"/>
              <w:kinsoku/>
              <w:wordWrap/>
              <w:overflowPunct/>
              <w:topLinePunct w:val="0"/>
              <w:autoSpaceDE/>
              <w:autoSpaceDN/>
              <w:bidi w:val="0"/>
              <w:adjustRightInd/>
              <w:spacing w:line="400" w:lineRule="exact"/>
              <w:ind w:left="240" w:hanging="240" w:hangingChars="100"/>
              <w:textAlignment w:val="auto"/>
              <w:rPr>
                <w:rFonts w:eastAsia="仿宋_GB2312"/>
                <w:color w:val="auto"/>
                <w:sz w:val="24"/>
              </w:rPr>
            </w:pPr>
            <w:r>
              <w:rPr>
                <w:rFonts w:eastAsia="仿宋_GB2312"/>
                <w:color w:val="auto"/>
                <w:sz w:val="24"/>
              </w:rPr>
              <w:t>11.2023年</w:t>
            </w:r>
            <w:r>
              <w:rPr>
                <w:rFonts w:hint="eastAsia" w:eastAsia="仿宋_GB2312"/>
                <w:color w:val="auto"/>
                <w:sz w:val="24"/>
              </w:rPr>
              <w:t>度税务机关出具的纳税证明或凭证</w:t>
            </w:r>
            <w:r>
              <w:rPr>
                <w:rFonts w:eastAsia="仿宋_GB2312"/>
                <w:color w:val="auto"/>
                <w:sz w:val="24"/>
              </w:rPr>
              <w:t>；</w:t>
            </w:r>
          </w:p>
        </w:tc>
      </w:tr>
      <w:tr w14:paraId="3E7C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shd w:val="clear" w:color="auto" w:fill="FFFFFF"/>
            <w:noWrap w:val="0"/>
            <w:vAlign w:val="center"/>
          </w:tcPr>
          <w:p w14:paraId="3FFA5619">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eastAsia="仿宋"/>
                <w:b/>
                <w:bCs/>
                <w:color w:val="auto"/>
                <w:sz w:val="24"/>
              </w:rPr>
              <w:t>社会</w:t>
            </w:r>
            <w:r>
              <w:rPr>
                <w:rFonts w:hint="eastAsia" w:eastAsia="仿宋"/>
                <w:b/>
                <w:bCs/>
                <w:color w:val="auto"/>
                <w:sz w:val="24"/>
              </w:rPr>
              <w:t>责任</w:t>
            </w:r>
          </w:p>
        </w:tc>
        <w:tc>
          <w:tcPr>
            <w:tcW w:w="7880" w:type="dxa"/>
            <w:shd w:val="clear" w:color="auto" w:fill="FFFFFF"/>
            <w:noWrap w:val="0"/>
            <w:vAlign w:val="center"/>
          </w:tcPr>
          <w:p w14:paraId="4777CD9F">
            <w:pPr>
              <w:keepNext w:val="0"/>
              <w:keepLines w:val="0"/>
              <w:pageBreakBefore w:val="0"/>
              <w:widowControl/>
              <w:kinsoku/>
              <w:wordWrap/>
              <w:overflowPunct/>
              <w:topLinePunct w:val="0"/>
              <w:autoSpaceDE/>
              <w:autoSpaceDN/>
              <w:bidi w:val="0"/>
              <w:adjustRightInd/>
              <w:spacing w:line="400" w:lineRule="exact"/>
              <w:jc w:val="left"/>
              <w:textAlignment w:val="auto"/>
              <w:rPr>
                <w:rFonts w:eastAsia="仿宋_GB2312"/>
                <w:color w:val="auto"/>
                <w:sz w:val="24"/>
              </w:rPr>
            </w:pPr>
            <w:r>
              <w:rPr>
                <w:rFonts w:eastAsia="仿宋_GB2312"/>
                <w:color w:val="auto"/>
                <w:sz w:val="24"/>
              </w:rPr>
              <w:t>1</w:t>
            </w:r>
            <w:r>
              <w:rPr>
                <w:rFonts w:hint="eastAsia" w:eastAsia="仿宋_GB2312"/>
                <w:color w:val="auto"/>
                <w:sz w:val="24"/>
              </w:rPr>
              <w:t>2</w:t>
            </w:r>
            <w:r>
              <w:rPr>
                <w:rFonts w:eastAsia="仿宋_GB2312"/>
                <w:color w:val="auto"/>
                <w:sz w:val="24"/>
              </w:rPr>
              <w:t>.社会捐赠（提供公司慈善与公益捐款票据或证书）</w:t>
            </w:r>
            <w:r>
              <w:rPr>
                <w:rFonts w:hint="eastAsia" w:eastAsia="仿宋_GB2312"/>
                <w:color w:val="auto"/>
                <w:sz w:val="24"/>
              </w:rPr>
              <w:t>、</w:t>
            </w:r>
            <w:r>
              <w:rPr>
                <w:rFonts w:eastAsia="仿宋_GB2312"/>
                <w:color w:val="auto"/>
                <w:sz w:val="24"/>
              </w:rPr>
              <w:t>解决残疾人就业情况（提供残疾人证复印件</w:t>
            </w:r>
            <w:r>
              <w:rPr>
                <w:rFonts w:hint="eastAsia" w:eastAsia="仿宋_GB2312"/>
                <w:color w:val="auto"/>
                <w:sz w:val="24"/>
              </w:rPr>
              <w:t>及</w:t>
            </w:r>
            <w:r>
              <w:rPr>
                <w:rFonts w:eastAsia="仿宋_GB2312"/>
                <w:color w:val="auto"/>
                <w:sz w:val="24"/>
              </w:rPr>
              <w:t>缴纳</w:t>
            </w:r>
            <w:r>
              <w:rPr>
                <w:rFonts w:hint="eastAsia" w:eastAsia="仿宋_GB2312"/>
                <w:color w:val="auto"/>
                <w:sz w:val="24"/>
              </w:rPr>
              <w:t>社保</w:t>
            </w:r>
            <w:r>
              <w:rPr>
                <w:rFonts w:eastAsia="仿宋_GB2312"/>
                <w:color w:val="auto"/>
                <w:sz w:val="24"/>
              </w:rPr>
              <w:t>）</w:t>
            </w:r>
            <w:r>
              <w:rPr>
                <w:rFonts w:hint="eastAsia" w:eastAsia="仿宋_GB2312"/>
                <w:color w:val="auto"/>
                <w:sz w:val="24"/>
              </w:rPr>
              <w:t>、</w:t>
            </w:r>
            <w:r>
              <w:rPr>
                <w:rFonts w:eastAsia="仿宋_GB2312"/>
                <w:color w:val="auto"/>
                <w:sz w:val="24"/>
              </w:rPr>
              <w:t>解决退伍军人就业情况（提供军人退伍证复印件</w:t>
            </w:r>
            <w:r>
              <w:rPr>
                <w:rFonts w:hint="eastAsia" w:eastAsia="仿宋_GB2312"/>
                <w:color w:val="auto"/>
                <w:sz w:val="24"/>
              </w:rPr>
              <w:t>及</w:t>
            </w:r>
            <w:r>
              <w:rPr>
                <w:rFonts w:eastAsia="仿宋_GB2312"/>
                <w:color w:val="auto"/>
                <w:sz w:val="24"/>
              </w:rPr>
              <w:t>缴纳</w:t>
            </w:r>
            <w:r>
              <w:rPr>
                <w:rFonts w:hint="eastAsia" w:eastAsia="仿宋_GB2312"/>
                <w:color w:val="auto"/>
                <w:sz w:val="24"/>
              </w:rPr>
              <w:t>社保</w:t>
            </w:r>
            <w:r>
              <w:rPr>
                <w:rFonts w:eastAsia="仿宋_GB2312"/>
                <w:color w:val="auto"/>
                <w:sz w:val="24"/>
              </w:rPr>
              <w:t>）</w:t>
            </w:r>
            <w:r>
              <w:rPr>
                <w:rFonts w:hint="eastAsia" w:eastAsia="仿宋_GB2312"/>
                <w:color w:val="auto"/>
                <w:sz w:val="24"/>
              </w:rPr>
              <w:t>；提供处理各级政府有效处理突发公共事件的相关部门表彰文件；</w:t>
            </w:r>
          </w:p>
        </w:tc>
      </w:tr>
      <w:tr w14:paraId="14C7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shd w:val="clear" w:color="auto" w:fill="FFFFFF"/>
            <w:noWrap w:val="0"/>
            <w:vAlign w:val="center"/>
          </w:tcPr>
          <w:p w14:paraId="7C8E87E3">
            <w:pPr>
              <w:keepNext w:val="0"/>
              <w:keepLines w:val="0"/>
              <w:pageBreakBefore w:val="0"/>
              <w:kinsoku/>
              <w:wordWrap/>
              <w:overflowPunct/>
              <w:topLinePunct w:val="0"/>
              <w:autoSpaceDE/>
              <w:autoSpaceDN/>
              <w:bidi w:val="0"/>
              <w:adjustRightInd/>
              <w:spacing w:line="400" w:lineRule="exact"/>
              <w:ind w:left="241" w:hanging="241" w:hangingChars="100"/>
              <w:jc w:val="center"/>
              <w:textAlignment w:val="auto"/>
              <w:rPr>
                <w:rFonts w:eastAsia="仿宋"/>
                <w:b/>
                <w:bCs/>
                <w:color w:val="auto"/>
                <w:sz w:val="24"/>
              </w:rPr>
            </w:pPr>
            <w:r>
              <w:rPr>
                <w:rFonts w:hint="eastAsia" w:eastAsia="仿宋"/>
                <w:b/>
                <w:bCs/>
                <w:color w:val="auto"/>
                <w:sz w:val="24"/>
              </w:rPr>
              <w:t>其他</w:t>
            </w:r>
          </w:p>
        </w:tc>
        <w:tc>
          <w:tcPr>
            <w:tcW w:w="7880" w:type="dxa"/>
            <w:shd w:val="clear" w:color="auto" w:fill="FFFFFF"/>
            <w:noWrap w:val="0"/>
            <w:vAlign w:val="center"/>
          </w:tcPr>
          <w:p w14:paraId="6F815A8A">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eastAsia="仿宋_GB2312"/>
                <w:color w:val="auto"/>
                <w:sz w:val="24"/>
                <w:lang w:eastAsia="zh-CN"/>
              </w:rPr>
            </w:pPr>
            <w:r>
              <w:rPr>
                <w:rFonts w:hint="eastAsia" w:eastAsia="仿宋_GB2312"/>
                <w:color w:val="auto"/>
                <w:sz w:val="24"/>
              </w:rPr>
              <w:t>13.提供“在全国或全省同行业中地位靠前或影响力较大的重点企业”证明材料；或行业协会出具相关情况说明</w:t>
            </w:r>
            <w:r>
              <w:rPr>
                <w:rFonts w:hint="eastAsia" w:eastAsia="仿宋_GB2312"/>
                <w:color w:val="auto"/>
                <w:sz w:val="24"/>
                <w:lang w:eastAsia="zh-CN"/>
              </w:rPr>
              <w:t>；</w:t>
            </w:r>
          </w:p>
          <w:p w14:paraId="41E992BB">
            <w:pPr>
              <w:keepNext w:val="0"/>
              <w:keepLines w:val="0"/>
              <w:pageBreakBefore w:val="0"/>
              <w:widowControl/>
              <w:kinsoku/>
              <w:wordWrap/>
              <w:overflowPunct/>
              <w:topLinePunct w:val="0"/>
              <w:autoSpaceDE/>
              <w:autoSpaceDN/>
              <w:bidi w:val="0"/>
              <w:adjustRightInd/>
              <w:spacing w:line="400" w:lineRule="exact"/>
              <w:jc w:val="left"/>
              <w:textAlignment w:val="auto"/>
              <w:rPr>
                <w:rFonts w:hint="default" w:eastAsia="仿宋_GB2312"/>
                <w:color w:val="auto"/>
                <w:sz w:val="24"/>
                <w:lang w:val="en-US" w:eastAsia="zh-CN"/>
              </w:rPr>
            </w:pPr>
            <w:r>
              <w:rPr>
                <w:rFonts w:hint="eastAsia" w:eastAsia="仿宋_GB2312"/>
                <w:color w:val="auto"/>
                <w:sz w:val="24"/>
                <w:lang w:val="en-US" w:eastAsia="zh-CN"/>
              </w:rPr>
              <w:t>14.其他特色创新成果材料。</w:t>
            </w:r>
          </w:p>
        </w:tc>
      </w:tr>
      <w:tr w14:paraId="0AC1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75" w:type="dxa"/>
            <w:gridSpan w:val="2"/>
            <w:shd w:val="clear" w:color="auto" w:fill="FFFFFF"/>
            <w:noWrap w:val="0"/>
            <w:vAlign w:val="center"/>
          </w:tcPr>
          <w:p w14:paraId="3DE8D4D3">
            <w:pPr>
              <w:keepNext w:val="0"/>
              <w:keepLines w:val="0"/>
              <w:pageBreakBefore w:val="0"/>
              <w:widowControl/>
              <w:kinsoku/>
              <w:wordWrap/>
              <w:overflowPunct/>
              <w:topLinePunct w:val="0"/>
              <w:autoSpaceDE/>
              <w:autoSpaceDN/>
              <w:bidi w:val="0"/>
              <w:adjustRightInd/>
              <w:spacing w:line="400" w:lineRule="exact"/>
              <w:ind w:firstLine="480" w:firstLineChars="200"/>
              <w:jc w:val="left"/>
              <w:textAlignment w:val="auto"/>
              <w:rPr>
                <w:rFonts w:ascii="Times New Roman" w:hAnsi="Times New Roman" w:eastAsia="仿宋_GB2312" w:cs="Times New Roman"/>
                <w:color w:val="auto"/>
                <w:sz w:val="24"/>
              </w:rPr>
            </w:pPr>
            <w:r>
              <w:rPr>
                <w:rFonts w:eastAsia="仿宋_GB2312"/>
                <w:color w:val="auto"/>
                <w:sz w:val="24"/>
              </w:rPr>
              <w:t>注：上述材料电子版和纸质版各一份</w:t>
            </w:r>
            <w:r>
              <w:rPr>
                <w:rFonts w:hint="eastAsia" w:eastAsia="仿宋_GB2312"/>
                <w:color w:val="auto"/>
                <w:sz w:val="24"/>
                <w:lang w:eastAsia="zh-CN"/>
              </w:rPr>
              <w:t>。</w:t>
            </w:r>
            <w:r>
              <w:rPr>
                <w:rFonts w:eastAsia="仿宋_GB2312"/>
                <w:color w:val="auto"/>
                <w:sz w:val="24"/>
              </w:rPr>
              <w:t>同时</w:t>
            </w:r>
            <w:r>
              <w:rPr>
                <w:rFonts w:hint="eastAsia" w:eastAsia="仿宋_GB2312"/>
                <w:color w:val="auto"/>
                <w:sz w:val="24"/>
                <w:lang w:eastAsia="zh-CN"/>
              </w:rPr>
              <w:t>，</w:t>
            </w:r>
            <w:r>
              <w:rPr>
                <w:rFonts w:eastAsia="仿宋_GB2312"/>
                <w:color w:val="auto"/>
                <w:sz w:val="24"/>
              </w:rPr>
              <w:t>提交材料的内容真实</w:t>
            </w:r>
            <w:r>
              <w:rPr>
                <w:rFonts w:hint="eastAsia" w:eastAsia="仿宋_GB2312"/>
                <w:color w:val="auto"/>
                <w:sz w:val="24"/>
              </w:rPr>
              <w:t>、</w:t>
            </w:r>
            <w:r>
              <w:rPr>
                <w:rFonts w:eastAsia="仿宋_GB2312"/>
                <w:color w:val="auto"/>
                <w:sz w:val="24"/>
              </w:rPr>
              <w:t>准确</w:t>
            </w:r>
            <w:r>
              <w:rPr>
                <w:rFonts w:hint="eastAsia" w:eastAsia="仿宋_GB2312"/>
                <w:color w:val="auto"/>
                <w:sz w:val="24"/>
              </w:rPr>
              <w:t>、</w:t>
            </w:r>
            <w:r>
              <w:rPr>
                <w:rFonts w:eastAsia="仿宋_GB2312"/>
                <w:color w:val="auto"/>
                <w:sz w:val="24"/>
              </w:rPr>
              <w:t>无虚假成分，由于提供的不真实</w:t>
            </w:r>
            <w:r>
              <w:rPr>
                <w:rFonts w:hint="eastAsia" w:eastAsia="仿宋_GB2312"/>
                <w:color w:val="auto"/>
                <w:sz w:val="24"/>
              </w:rPr>
              <w:t>、</w:t>
            </w:r>
            <w:r>
              <w:rPr>
                <w:rFonts w:eastAsia="仿宋_GB2312"/>
                <w:color w:val="auto"/>
                <w:sz w:val="24"/>
              </w:rPr>
              <w:t>不确切的含虚假成分所造成的一切后果由</w:t>
            </w:r>
            <w:r>
              <w:rPr>
                <w:rFonts w:hint="eastAsia" w:eastAsia="仿宋_GB2312"/>
                <w:color w:val="auto"/>
                <w:sz w:val="24"/>
                <w:lang w:eastAsia="zh-CN"/>
              </w:rPr>
              <w:t>我单位自行</w:t>
            </w:r>
            <w:r>
              <w:rPr>
                <w:rFonts w:eastAsia="仿宋_GB2312"/>
                <w:color w:val="auto"/>
                <w:sz w:val="24"/>
              </w:rPr>
              <w:t>承担。</w:t>
            </w:r>
          </w:p>
          <w:p w14:paraId="484125EA">
            <w:pPr>
              <w:keepNext w:val="0"/>
              <w:keepLines w:val="0"/>
              <w:pageBreakBefore w:val="0"/>
              <w:widowControl/>
              <w:kinsoku/>
              <w:wordWrap/>
              <w:overflowPunct/>
              <w:topLinePunct w:val="0"/>
              <w:autoSpaceDE/>
              <w:autoSpaceDN/>
              <w:bidi w:val="0"/>
              <w:adjustRightInd/>
              <w:spacing w:line="400" w:lineRule="exact"/>
              <w:ind w:firstLine="480" w:firstLineChars="200"/>
              <w:jc w:val="center"/>
              <w:textAlignment w:val="auto"/>
              <w:rPr>
                <w:rFonts w:ascii="Times New Roman" w:hAnsi="Times New Roman" w:eastAsia="仿宋_GB2312" w:cs="Times New Roman"/>
                <w:color w:val="auto"/>
                <w:sz w:val="24"/>
              </w:rPr>
            </w:pPr>
            <w:r>
              <w:rPr>
                <w:rFonts w:ascii="Times New Roman" w:hAnsi="Times New Roman" w:eastAsia="仿宋_GB2312" w:cs="Times New Roman"/>
                <w:color w:val="auto"/>
                <w:sz w:val="24"/>
              </w:rPr>
              <w:t>受评单位名称</w:t>
            </w:r>
            <w:r>
              <w:rPr>
                <w:rFonts w:hint="eastAsia" w:ascii="Times New Roman" w:hAnsi="Times New Roman" w:eastAsia="仿宋_GB2312" w:cs="Times New Roman"/>
                <w:color w:val="auto"/>
                <w:sz w:val="24"/>
                <w:lang w:eastAsia="zh-CN"/>
              </w:rPr>
              <w:t>（</w:t>
            </w:r>
            <w:r>
              <w:rPr>
                <w:rFonts w:hint="eastAsia" w:ascii="Times New Roman" w:hAnsi="Times New Roman" w:eastAsia="仿宋_GB2312" w:cs="Times New Roman"/>
                <w:color w:val="auto"/>
                <w:sz w:val="24"/>
                <w:lang w:val="en-US" w:eastAsia="zh-CN"/>
              </w:rPr>
              <w:t>盖章</w:t>
            </w:r>
            <w:r>
              <w:rPr>
                <w:rFonts w:hint="eastAsia" w:ascii="Times New Roman" w:hAnsi="Times New Roman" w:eastAsia="仿宋_GB2312" w:cs="Times New Roman"/>
                <w:color w:val="auto"/>
                <w:sz w:val="24"/>
                <w:lang w:eastAsia="zh-CN"/>
              </w:rPr>
              <w:t>）</w:t>
            </w:r>
            <w:r>
              <w:rPr>
                <w:rFonts w:ascii="Times New Roman" w:hAnsi="Times New Roman" w:eastAsia="仿宋_GB2312" w:cs="Times New Roman"/>
                <w:color w:val="auto"/>
                <w:sz w:val="24"/>
              </w:rPr>
              <w:t>：</w:t>
            </w:r>
          </w:p>
          <w:p w14:paraId="33F470B1">
            <w:pPr>
              <w:keepNext w:val="0"/>
              <w:keepLines w:val="0"/>
              <w:pageBreakBefore w:val="0"/>
              <w:widowControl/>
              <w:kinsoku/>
              <w:wordWrap/>
              <w:overflowPunct/>
              <w:topLinePunct w:val="0"/>
              <w:autoSpaceDE/>
              <w:autoSpaceDN/>
              <w:bidi w:val="0"/>
              <w:adjustRightInd/>
              <w:spacing w:line="400" w:lineRule="exact"/>
              <w:ind w:firstLine="480" w:firstLineChars="200"/>
              <w:jc w:val="center"/>
              <w:textAlignment w:val="auto"/>
              <w:rPr>
                <w:rFonts w:hint="eastAsia" w:eastAsia="仿宋_GB2312"/>
                <w:color w:val="auto"/>
                <w:sz w:val="24"/>
              </w:rPr>
            </w:pPr>
            <w:r>
              <w:rPr>
                <w:rFonts w:ascii="Times New Roman" w:hAnsi="Times New Roman" w:eastAsia="仿宋_GB2312" w:cs="Times New Roman"/>
                <w:color w:val="auto"/>
                <w:sz w:val="24"/>
              </w:rPr>
              <w:t>填报日期：</w:t>
            </w:r>
          </w:p>
        </w:tc>
      </w:tr>
    </w:tbl>
    <w:p w14:paraId="24C1CA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MTEyMTJhYjRiZTI1ZjQ1YTVlMDdlOWYxMTdjMzAifQ=="/>
    <w:docVar w:name="KSO_WPS_MARK_KEY" w:val="f82738fd-397f-4535-a93c-bc2e8d3028eb"/>
  </w:docVars>
  <w:rsids>
    <w:rsidRoot w:val="2E461D79"/>
    <w:rsid w:val="2E461D79"/>
    <w:rsid w:val="6109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735</Words>
  <Characters>758</Characters>
  <Lines>0</Lines>
  <Paragraphs>0</Paragraphs>
  <TotalTime>0</TotalTime>
  <ScaleCrop>false</ScaleCrop>
  <LinksUpToDate>false</LinksUpToDate>
  <CharactersWithSpaces>758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2024-11-13T08:15:00Z</dcterms:created>
  <dc:creator>安徽省社区服务业协会</dc:creator>
  <cp:lastModifiedBy>安徽省社区服务业协会</cp:lastModifiedBy>
  <dcterms:modified xsi:type="dcterms:W3CDTF">2024-11-14T01:59:25Z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C2E6A66DD2E240A0B1E57559FE24092B</vt:lpwstr>
  </property>
</Properties>
</file>